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Vingåker kommunfullmäktige</w:t>
      </w:r>
    </w:p>
    <w:p>
      <w:pPr>
        <w:pStyle w:val="Heading1"/>
      </w:pPr>
      <w:r>
        <w:t xml:space="preserve">Höjd kvalitet i hemtjänsten genom ökad valfrihet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Vingåker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Brukarnöjdheten i Vingåkers hemtjänst ligger under länsgenomsnittet enligt Socialstyrelsen 2024. Fler utförare kan höja kvaliteten.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Vingåker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utreda införande av LOV inom hemtjänsten.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brukarundersökning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privata utförare bjuds in till dialog.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förslag presenteras för fullmäktige senast mars 2027.</w:t>
      </w:r>
    </w:p>
    <w:p>
      <w:pPr>
        <w:spacing w:before="360"/>
      </w:pPr>
    </w:p>
    <w:p>
      <w:r>
        <w:t xml:space="preserve">Vingåker,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Vingåker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2026-06-06T01:48:33.320Z</dcterms:created>
  <dcterms:modified xsi:type="dcterms:W3CDTF">2026-06-06T01:48:33.320Z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